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20" w:lineRule="exact"/>
        <w:ind w:right="0" w:rightChars="0" w:firstLine="883" w:firstLineChars="200"/>
        <w:jc w:val="center"/>
        <w:textAlignment w:val="auto"/>
        <w:outlineLvl w:val="9"/>
        <w:rPr>
          <w:rFonts w:hint="eastAsia" w:asciiTheme="majorEastAsia" w:hAnsiTheme="majorEastAsia" w:eastAsiaTheme="majorEastAsia" w:cstheme="majorEastAsia"/>
          <w:b/>
          <w:bCs/>
          <w:i w:val="0"/>
          <w:caps w:val="0"/>
          <w:color w:val="000000"/>
          <w:spacing w:val="0"/>
          <w:sz w:val="44"/>
          <w:szCs w:val="44"/>
          <w:shd w:val="clear" w:fill="FFFFFF"/>
          <w:lang w:val="en-US" w:eastAsia="zh-CN"/>
        </w:rPr>
      </w:pPr>
      <w:bookmarkStart w:id="0" w:name="_GoBack"/>
      <w:bookmarkEnd w:id="0"/>
      <w:r>
        <w:rPr>
          <w:rFonts w:hint="eastAsia" w:asciiTheme="majorEastAsia" w:hAnsiTheme="majorEastAsia" w:eastAsiaTheme="majorEastAsia" w:cstheme="majorEastAsia"/>
          <w:b/>
          <w:bCs/>
          <w:i w:val="0"/>
          <w:caps w:val="0"/>
          <w:color w:val="000000"/>
          <w:spacing w:val="0"/>
          <w:sz w:val="44"/>
          <w:szCs w:val="44"/>
          <w:shd w:val="clear" w:fill="FFFFFF"/>
        </w:rPr>
        <w:t>夏邑县201</w:t>
      </w:r>
      <w:r>
        <w:rPr>
          <w:rFonts w:hint="eastAsia" w:asciiTheme="majorEastAsia" w:hAnsiTheme="majorEastAsia" w:eastAsiaTheme="majorEastAsia" w:cstheme="majorEastAsia"/>
          <w:b/>
          <w:bCs/>
          <w:i w:val="0"/>
          <w:caps w:val="0"/>
          <w:color w:val="000000"/>
          <w:spacing w:val="0"/>
          <w:sz w:val="44"/>
          <w:szCs w:val="44"/>
          <w:shd w:val="clear" w:fill="FFFFFF"/>
          <w:lang w:val="en-US" w:eastAsia="zh-CN"/>
        </w:rPr>
        <w:t>9</w:t>
      </w:r>
      <w:r>
        <w:rPr>
          <w:rFonts w:hint="eastAsia" w:asciiTheme="majorEastAsia" w:hAnsiTheme="majorEastAsia" w:eastAsiaTheme="majorEastAsia" w:cstheme="majorEastAsia"/>
          <w:b/>
          <w:bCs/>
          <w:i w:val="0"/>
          <w:caps w:val="0"/>
          <w:color w:val="000000"/>
          <w:spacing w:val="0"/>
          <w:sz w:val="44"/>
          <w:szCs w:val="44"/>
          <w:shd w:val="clear" w:fill="FFFFFF"/>
        </w:rPr>
        <w:t>年度预算绩效工作开展</w:t>
      </w:r>
      <w:r>
        <w:rPr>
          <w:rFonts w:hint="eastAsia" w:asciiTheme="majorEastAsia" w:hAnsiTheme="majorEastAsia" w:eastAsiaTheme="majorEastAsia" w:cstheme="majorEastAsia"/>
          <w:b/>
          <w:bCs/>
          <w:i w:val="0"/>
          <w:caps w:val="0"/>
          <w:color w:val="000000"/>
          <w:spacing w:val="0"/>
          <w:sz w:val="44"/>
          <w:szCs w:val="44"/>
          <w:shd w:val="clear" w:fill="FFFFFF"/>
          <w:lang w:val="en-US" w:eastAsia="zh-CN"/>
        </w:rPr>
        <w:t xml:space="preserve">  </w:t>
      </w:r>
      <w:r>
        <w:rPr>
          <w:rFonts w:hint="eastAsia" w:asciiTheme="majorEastAsia" w:hAnsiTheme="majorEastAsia" w:eastAsiaTheme="majorEastAsia" w:cstheme="majorEastAsia"/>
          <w:b/>
          <w:bCs/>
          <w:i w:val="0"/>
          <w:caps w:val="0"/>
          <w:color w:val="000000"/>
          <w:spacing w:val="0"/>
          <w:sz w:val="44"/>
          <w:szCs w:val="44"/>
          <w:shd w:val="clear" w:fill="FFFFFF"/>
        </w:rPr>
        <w:t>情况</w:t>
      </w:r>
      <w:r>
        <w:rPr>
          <w:rFonts w:hint="eastAsia" w:asciiTheme="majorEastAsia" w:hAnsiTheme="majorEastAsia" w:eastAsiaTheme="majorEastAsia" w:cstheme="majorEastAsia"/>
          <w:b/>
          <w:bCs/>
          <w:i w:val="0"/>
          <w:caps w:val="0"/>
          <w:color w:val="000000"/>
          <w:spacing w:val="0"/>
          <w:sz w:val="44"/>
          <w:szCs w:val="44"/>
          <w:shd w:val="clear" w:fill="FFFFFF"/>
          <w:lang w:val="en-US" w:eastAsia="zh-CN"/>
        </w:rPr>
        <w:t>说明</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20" w:lineRule="exact"/>
        <w:ind w:left="0" w:leftChars="0" w:right="0" w:rightChars="0" w:firstLine="640" w:firstLineChars="200"/>
        <w:jc w:val="both"/>
        <w:textAlignment w:val="auto"/>
        <w:outlineLvl w:val="9"/>
        <w:rPr>
          <w:rFonts w:hint="eastAsia" w:ascii="仿宋" w:hAnsi="仿宋" w:eastAsia="仿宋" w:cs="仿宋"/>
          <w:b/>
          <w:bCs/>
          <w:color w:val="000000"/>
          <w:sz w:val="32"/>
          <w:szCs w:val="32"/>
          <w:lang w:eastAsia="zh-CN"/>
        </w:rPr>
      </w:pPr>
      <w:r>
        <w:rPr>
          <w:rFonts w:hint="eastAsia" w:ascii="仿宋" w:hAnsi="仿宋" w:eastAsia="仿宋" w:cs="仿宋"/>
          <w:color w:val="000000"/>
          <w:sz w:val="32"/>
          <w:szCs w:val="32"/>
        </w:rPr>
        <w:t>为进一步规范和加强预算管理，强化支出责任，提高资金使用效益，建立健全预算管理机制，</w:t>
      </w:r>
      <w:r>
        <w:rPr>
          <w:rFonts w:hint="eastAsia" w:ascii="仿宋" w:hAnsi="仿宋" w:eastAsia="仿宋" w:cs="仿宋"/>
          <w:i w:val="0"/>
          <w:caps w:val="0"/>
          <w:color w:val="333333"/>
          <w:spacing w:val="0"/>
          <w:kern w:val="0"/>
          <w:sz w:val="32"/>
          <w:szCs w:val="32"/>
          <w:shd w:val="clear" w:fill="FFFFFF"/>
          <w:lang w:val="en-US" w:eastAsia="zh-CN" w:bidi="ar"/>
        </w:rPr>
        <w:t>我县预算绩效工作正在逐步开展。推进绩效目标管理规范化，把绩效目标作为预算执行、绩效评价、绩效问责的重要依据，并逐步推动绩效评价结果应用。</w:t>
      </w:r>
    </w:p>
    <w:p>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20" w:lineRule="exact"/>
        <w:ind w:right="0" w:rightChars="0" w:firstLine="643" w:firstLineChars="200"/>
        <w:jc w:val="both"/>
        <w:textAlignment w:val="auto"/>
        <w:outlineLvl w:val="9"/>
        <w:rPr>
          <w:sz w:val="32"/>
          <w:szCs w:val="32"/>
        </w:rPr>
      </w:pPr>
      <w:r>
        <w:rPr>
          <w:rFonts w:hint="eastAsia" w:ascii="仿宋_GB2312" w:hAnsi="宋体" w:eastAsia="仿宋_GB2312" w:cs="宋体"/>
          <w:b/>
          <w:bCs/>
          <w:color w:val="000000"/>
          <w:sz w:val="32"/>
          <w:szCs w:val="32"/>
          <w:lang w:val="en-US" w:eastAsia="zh-CN"/>
        </w:rPr>
        <w:t>一是</w:t>
      </w:r>
      <w:r>
        <w:rPr>
          <w:rFonts w:hint="default" w:ascii="仿宋_GB2312" w:hAnsi="宋体" w:eastAsia="仿宋_GB2312" w:cs="宋体"/>
          <w:b/>
          <w:bCs/>
          <w:color w:val="000000"/>
          <w:sz w:val="32"/>
          <w:szCs w:val="32"/>
        </w:rPr>
        <w:t>建立健全工作机制。</w:t>
      </w:r>
      <w:r>
        <w:rPr>
          <w:rFonts w:hint="default" w:ascii="仿宋_GB2312" w:hAnsi="宋体" w:eastAsia="仿宋_GB2312" w:cs="宋体"/>
          <w:color w:val="000000"/>
          <w:sz w:val="32"/>
          <w:szCs w:val="32"/>
        </w:rPr>
        <w:t>为了顺利推进预算绩效管理工作实施，财政部门内部建立了相应的工作机制和操作规程，</w:t>
      </w:r>
      <w:r>
        <w:rPr>
          <w:rFonts w:hint="eastAsia" w:ascii="仿宋_GB2312" w:hAnsi="宋体" w:eastAsia="仿宋_GB2312" w:cs="宋体"/>
          <w:color w:val="000000"/>
          <w:sz w:val="32"/>
          <w:szCs w:val="32"/>
          <w:lang w:eastAsia="zh-CN"/>
        </w:rPr>
        <w:t>评审中心</w:t>
      </w:r>
      <w:r>
        <w:rPr>
          <w:rFonts w:hint="default" w:ascii="仿宋_GB2312" w:hAnsi="宋体" w:eastAsia="仿宋_GB2312" w:cs="宋体"/>
          <w:color w:val="000000"/>
          <w:sz w:val="32"/>
          <w:szCs w:val="32"/>
        </w:rPr>
        <w:t>牵头，相关业务科室参与</w:t>
      </w:r>
      <w:r>
        <w:rPr>
          <w:rFonts w:hint="eastAsia" w:ascii="仿宋_GB2312" w:hAnsi="宋体" w:eastAsia="仿宋_GB2312" w:cs="宋体"/>
          <w:color w:val="000000"/>
          <w:sz w:val="32"/>
          <w:szCs w:val="32"/>
          <w:lang w:eastAsia="zh-CN"/>
        </w:rPr>
        <w:t>，并派专人负责预算绩效管理工作</w:t>
      </w:r>
      <w:r>
        <w:rPr>
          <w:rFonts w:hint="default" w:ascii="仿宋_GB2312" w:hAnsi="宋体" w:eastAsia="仿宋_GB2312" w:cs="宋体"/>
          <w:color w:val="000000"/>
          <w:sz w:val="32"/>
          <w:szCs w:val="32"/>
        </w:rPr>
        <w:t>。在具体工作中，</w:t>
      </w:r>
      <w:r>
        <w:rPr>
          <w:rFonts w:hint="eastAsia" w:ascii="仿宋_GB2312" w:hAnsi="宋体" w:eastAsia="仿宋_GB2312" w:cs="宋体"/>
          <w:color w:val="000000"/>
          <w:sz w:val="32"/>
          <w:szCs w:val="32"/>
          <w:lang w:eastAsia="zh-CN"/>
        </w:rPr>
        <w:t>评审中心</w:t>
      </w:r>
      <w:r>
        <w:rPr>
          <w:rFonts w:hint="default" w:ascii="仿宋_GB2312" w:hAnsi="宋体" w:eastAsia="仿宋_GB2312" w:cs="宋体"/>
          <w:color w:val="000000"/>
          <w:sz w:val="32"/>
          <w:szCs w:val="32"/>
        </w:rPr>
        <w:t>负责全面实施预算绩效管理制度建设；组织建立预算绩效管理指标体系；组织协调绩效目标管理、绩效运行监控、绩效评价管理等工作；提出预算绩效评价结果应用建议；负责对预算单位部门预算绩效管理工作进行考核。预算科负责预算</w:t>
      </w:r>
      <w:r>
        <w:rPr>
          <w:rFonts w:hint="eastAsia" w:ascii="仿宋_GB2312" w:hAnsi="宋体" w:eastAsia="仿宋_GB2312" w:cs="宋体"/>
          <w:color w:val="000000"/>
          <w:sz w:val="32"/>
          <w:szCs w:val="32"/>
          <w:lang w:eastAsia="zh-CN"/>
        </w:rPr>
        <w:t>绩效的批复和下达工作</w:t>
      </w:r>
      <w:r>
        <w:rPr>
          <w:rFonts w:hint="default" w:ascii="仿宋_GB2312" w:hAnsi="宋体" w:eastAsia="仿宋_GB2312" w:cs="宋体"/>
          <w:color w:val="000000"/>
          <w:sz w:val="32"/>
          <w:szCs w:val="32"/>
        </w:rPr>
        <w:t>，跟踪了解项目绩效考评工作实施情况</w:t>
      </w:r>
      <w:r>
        <w:rPr>
          <w:rFonts w:hint="default" w:ascii="仿宋_GB2312" w:hAnsi="MS Gothic" w:eastAsia="仿宋_GB2312" w:cs="仿宋_GB2312"/>
          <w:sz w:val="32"/>
          <w:szCs w:val="32"/>
        </w:rPr>
        <w:t>。相关业务科室具体负责本科室对口单位实施项目的绩效考评工作，配合制定考评指标，搜集考评基础信息，做好部门和考评单位之间的沟通协调工作，审核对口管理项目的绩效自评报告并对主管部门出具的绩效考评报告提出意见。</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20" w:lineRule="exact"/>
        <w:ind w:left="0" w:leftChars="0" w:right="0" w:rightChars="0" w:firstLine="643" w:firstLineChars="200"/>
        <w:jc w:val="both"/>
        <w:textAlignment w:val="auto"/>
        <w:outlineLvl w:val="9"/>
        <w:rPr>
          <w:sz w:val="32"/>
          <w:szCs w:val="32"/>
        </w:rPr>
      </w:pPr>
      <w:r>
        <w:rPr>
          <w:rStyle w:val="6"/>
          <w:rFonts w:hint="eastAsia" w:ascii="仿宋_GB2312" w:hAnsi="宋体" w:eastAsia="仿宋_GB2312" w:cs="宋体"/>
          <w:bCs w:val="0"/>
          <w:kern w:val="2"/>
          <w:sz w:val="32"/>
          <w:szCs w:val="32"/>
          <w:lang w:val="en-US" w:eastAsia="zh-CN"/>
        </w:rPr>
        <w:t>二是</w:t>
      </w:r>
      <w:r>
        <w:rPr>
          <w:rStyle w:val="6"/>
          <w:rFonts w:hint="default" w:ascii="仿宋_GB2312" w:hAnsi="宋体" w:eastAsia="仿宋_GB2312" w:cs="宋体"/>
          <w:bCs w:val="0"/>
          <w:kern w:val="2"/>
          <w:sz w:val="32"/>
          <w:szCs w:val="32"/>
        </w:rPr>
        <w:t>加强完善制度建设。</w:t>
      </w:r>
      <w:r>
        <w:rPr>
          <w:rFonts w:hint="default" w:ascii="仿宋_GB2312" w:eastAsia="仿宋_GB2312" w:cs="仿宋_GB2312"/>
          <w:sz w:val="32"/>
          <w:szCs w:val="32"/>
        </w:rPr>
        <w:t>出台《夏邑县财政预算绩效管理操作细则》进一步推进预算绩效管理，提高财政管理科学化精细化水平。印发了《县级项目支出预算绩效评价指标及评分标准》，对项目实施中投入、过程、产出和效果等整体过程中的每个环节都设置了绩效目标，绩效目标更加细化、量化，可操作性强。</w:t>
      </w:r>
      <w:r>
        <w:rPr>
          <w:rFonts w:hint="eastAsia" w:ascii="仿宋_GB2312" w:eastAsia="仿宋_GB2312" w:cs="仿宋_GB2312"/>
          <w:sz w:val="32"/>
          <w:szCs w:val="32"/>
          <w:lang w:eastAsia="zh-CN"/>
        </w:rPr>
        <w:t>出台了</w:t>
      </w:r>
      <w:r>
        <w:rPr>
          <w:rFonts w:hint="default" w:ascii="仿宋_GB2312" w:eastAsia="仿宋_GB2312" w:cs="仿宋_GB2312"/>
          <w:sz w:val="32"/>
          <w:szCs w:val="32"/>
        </w:rPr>
        <w:t>《夏邑县部门预算绩效跟踪管理暂行办法》</w:t>
      </w:r>
      <w:r>
        <w:rPr>
          <w:rFonts w:hint="eastAsia" w:ascii="仿宋_GB2312" w:eastAsia="仿宋_GB2312" w:cs="仿宋_GB2312"/>
          <w:sz w:val="32"/>
          <w:szCs w:val="32"/>
          <w:lang w:eastAsia="zh-CN"/>
        </w:rPr>
        <w:t>和</w:t>
      </w:r>
      <w:r>
        <w:rPr>
          <w:rFonts w:hint="default" w:ascii="仿宋_GB2312" w:eastAsia="仿宋_GB2312" w:cs="仿宋_GB2312"/>
          <w:sz w:val="32"/>
          <w:szCs w:val="32"/>
        </w:rPr>
        <w:t>《夏邑县部门预算绩效评价结果应用暂行办法》，要求预算部门和财政部门对项目实施单位绩效实现跟踪管理。建立绩效评价结果的反馈与整改、激励与问责制度，不断完善绩效评价结果的反馈和运用机制，将绩效结果向社会公布，进一步增强单位的责任感和紧迫感。将评价结果作为安排以后年度预算的重要依据，将一些绩效评价结果不好的项目取消，对执行不力的单位的预算要进行相应削减，切实发挥绩效评价工作的应有作用。</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both"/>
        <w:textAlignment w:val="auto"/>
        <w:outlineLvl w:val="9"/>
        <w:rPr>
          <w:rFonts w:hint="eastAsia" w:ascii="仿宋" w:hAnsi="仿宋" w:eastAsia="仿宋" w:cs="仿宋"/>
          <w:kern w:val="0"/>
          <w:sz w:val="32"/>
          <w:szCs w:val="32"/>
          <w:lang w:val="en-US" w:eastAsia="zh-CN" w:bidi="ar"/>
        </w:rPr>
      </w:pPr>
      <w:r>
        <w:rPr>
          <w:rFonts w:hint="eastAsia" w:ascii="仿宋_GB2312" w:eastAsia="仿宋_GB2312" w:cs="仿宋_GB2312"/>
          <w:b/>
          <w:bCs/>
          <w:sz w:val="32"/>
          <w:szCs w:val="32"/>
          <w:lang w:val="en-US" w:eastAsia="zh-CN"/>
        </w:rPr>
        <w:t>三是</w:t>
      </w:r>
      <w:r>
        <w:rPr>
          <w:rFonts w:hint="default" w:ascii="仿宋_GB2312" w:eastAsia="仿宋_GB2312" w:cs="仿宋_GB2312"/>
          <w:b/>
          <w:bCs/>
          <w:sz w:val="32"/>
          <w:szCs w:val="32"/>
        </w:rPr>
        <w:t>绩效管理</w:t>
      </w:r>
      <w:r>
        <w:rPr>
          <w:rFonts w:hint="eastAsia" w:ascii="仿宋_GB2312" w:eastAsia="仿宋_GB2312" w:cs="仿宋_GB2312"/>
          <w:b/>
          <w:bCs/>
          <w:sz w:val="32"/>
          <w:szCs w:val="32"/>
          <w:lang w:eastAsia="zh-CN"/>
        </w:rPr>
        <w:t>取得成效</w:t>
      </w:r>
      <w:r>
        <w:rPr>
          <w:rFonts w:hint="default" w:ascii="仿宋_GB2312" w:eastAsia="仿宋_GB2312" w:cs="仿宋_GB2312"/>
          <w:b/>
          <w:bCs/>
          <w:sz w:val="32"/>
          <w:szCs w:val="32"/>
        </w:rPr>
        <w:t>。</w:t>
      </w:r>
      <w:r>
        <w:rPr>
          <w:rFonts w:hint="eastAsia" w:ascii="仿宋_GB2312" w:eastAsia="仿宋_GB2312" w:cs="仿宋_GB2312" w:hAnsiTheme="minorHAnsi"/>
          <w:kern w:val="0"/>
          <w:sz w:val="32"/>
          <w:szCs w:val="32"/>
          <w:lang w:val="en-US" w:eastAsia="zh-CN" w:bidi="ar"/>
        </w:rPr>
        <w:t>2019</w:t>
      </w:r>
      <w:r>
        <w:rPr>
          <w:rFonts w:hint="eastAsia" w:ascii="仿宋_GB2312" w:eastAsia="仿宋_GB2312" w:cs="仿宋_GB2312"/>
          <w:kern w:val="0"/>
          <w:sz w:val="32"/>
          <w:szCs w:val="32"/>
          <w:lang w:val="en-US" w:eastAsia="zh-CN" w:bidi="ar"/>
        </w:rPr>
        <w:t>全县74个单位全部进行了部门预算绩效整体评价。并对</w:t>
      </w:r>
      <w:r>
        <w:rPr>
          <w:rFonts w:hint="eastAsia" w:ascii="仿宋_GB2312" w:eastAsia="仿宋_GB2312" w:cs="仿宋_GB2312" w:hAnsiTheme="minorHAnsi"/>
          <w:kern w:val="0"/>
          <w:sz w:val="32"/>
          <w:szCs w:val="32"/>
          <w:lang w:val="en-US" w:eastAsia="zh-CN" w:bidi="ar"/>
        </w:rPr>
        <w:t>涉及农村人居环境整治、农村危房改造、农村村组道路工程、农村安全饮水、农村产业发展等重点扶贫建设项目设定了绩效目标，涉及资金2.2亿元。2019年，财政部门对城乡居民医疗保险中心的建档立卡贫困人口参保及报销情况、民政局的困难群众救助资金、夏邑县教育体育局的建档立卡贫困学生资助省级补助资金及普通高中免学费和住宿费补助资金的绩效自评情况进行了抽查，涉及资金2.3亿元</w:t>
      </w:r>
      <w:r>
        <w:rPr>
          <w:rFonts w:hint="eastAsia" w:ascii="仿宋_GB2312" w:eastAsia="仿宋_GB2312" w:cs="仿宋_GB2312"/>
          <w:kern w:val="0"/>
          <w:sz w:val="32"/>
          <w:szCs w:val="32"/>
          <w:lang w:val="en-US" w:eastAsia="zh-CN" w:bidi="ar"/>
        </w:rPr>
        <w:t>，还</w:t>
      </w:r>
      <w:r>
        <w:rPr>
          <w:rFonts w:hint="eastAsia" w:ascii="仿宋_GB2312" w:eastAsia="仿宋_GB2312" w:cs="仿宋_GB2312" w:hAnsiTheme="minorHAnsi"/>
          <w:kern w:val="0"/>
          <w:sz w:val="32"/>
          <w:szCs w:val="32"/>
          <w:lang w:val="en-US" w:eastAsia="zh-CN" w:bidi="ar"/>
        </w:rPr>
        <w:t>聘请第三方对扶贫资金9个项目进行了重点</w:t>
      </w:r>
      <w:r>
        <w:rPr>
          <w:rFonts w:hint="eastAsia" w:ascii="仿宋_GB2312" w:eastAsia="仿宋_GB2312" w:cs="仿宋_GB2312"/>
          <w:kern w:val="0"/>
          <w:sz w:val="32"/>
          <w:szCs w:val="32"/>
          <w:lang w:val="en-US" w:eastAsia="zh-CN" w:bidi="ar"/>
        </w:rPr>
        <w:t>绩效</w:t>
      </w:r>
      <w:r>
        <w:rPr>
          <w:rFonts w:hint="eastAsia" w:ascii="仿宋_GB2312" w:eastAsia="仿宋_GB2312" w:cs="仿宋_GB2312" w:hAnsiTheme="minorHAnsi"/>
          <w:kern w:val="0"/>
          <w:sz w:val="32"/>
          <w:szCs w:val="32"/>
          <w:lang w:val="en-US" w:eastAsia="zh-CN" w:bidi="ar"/>
        </w:rPr>
        <w:t>评价，涉及资金0.</w:t>
      </w:r>
      <w:r>
        <w:rPr>
          <w:rFonts w:hint="eastAsia" w:ascii="仿宋_GB2312" w:eastAsia="仿宋_GB2312" w:cs="仿宋_GB2312"/>
          <w:kern w:val="0"/>
          <w:sz w:val="32"/>
          <w:szCs w:val="32"/>
          <w:lang w:val="en-US" w:eastAsia="zh-CN" w:bidi="ar"/>
        </w:rPr>
        <w:t>09</w:t>
      </w:r>
      <w:r>
        <w:rPr>
          <w:rFonts w:hint="eastAsia" w:ascii="仿宋_GB2312" w:eastAsia="仿宋_GB2312" w:cs="仿宋_GB2312" w:hAnsiTheme="minorHAnsi"/>
          <w:kern w:val="0"/>
          <w:sz w:val="32"/>
          <w:szCs w:val="32"/>
          <w:lang w:val="en-US" w:eastAsia="zh-CN" w:bidi="ar"/>
        </w:rPr>
        <w:t>亿元。</w:t>
      </w:r>
      <w:r>
        <w:rPr>
          <w:rFonts w:hint="eastAsia" w:ascii="仿宋" w:hAnsi="仿宋" w:eastAsia="仿宋" w:cs="仿宋"/>
          <w:i w:val="0"/>
          <w:caps w:val="0"/>
          <w:color w:val="333333"/>
          <w:spacing w:val="0"/>
          <w:kern w:val="0"/>
          <w:sz w:val="32"/>
          <w:szCs w:val="32"/>
          <w:shd w:val="clear" w:fill="FFFFFF"/>
          <w:lang w:val="en-US" w:eastAsia="zh-CN" w:bidi="ar"/>
        </w:rPr>
        <w:t>项目支出较好地完成了既定目标，取得了良好的经济与社会效益。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EE512F"/>
    <w:rsid w:val="02CE2A68"/>
    <w:rsid w:val="07EE512F"/>
    <w:rsid w:val="6A257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2020-10-17T08:41:00Z</dcterms:created>
  <dc:creator>Lenovo</dc:creator>
  <cp:lastModifiedBy>Lenovo</cp:lastModifiedBy>
  <dcterms:modified xsi:type="dcterms:W3CDTF">2020-10-10T02:20:58Z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AFC1C295D46440919144FF6253F64278</vt:lpwstr>
  </property>
</Properties>
</file>