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810" w:lineRule="atLeas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  <w:t>夏邑县201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  <w:t>年度转移支付执行情况说明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2019年度，省对我县税收返还、转移支付合计436135万元，其中：税收返还收入10380万元，一般性转移支付收入385420万元，专项转移支付收入40335万元。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返还性收入具体为：所得税基数返还收入496万元，成品油价格和税费改革税收返还收入1804万元，增值税税收返还收入2424万元，消费税税收返还收入4万元，增值税五五分享税收返还收入5652万元。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一般性转移支付具体为：均衡性转移支付156941万元，结算补助5892万元，产粮（油）大县奖励资金7446万元，固定数额补助27447万元，革命老区转移支付1702万元，贫困地区转移支付7655万元，公共安全共同财政事权转移支付3002万元，教育共同财政事权转移支付21106万元，文化旅游体育与传媒共同财政事权转移支付381万元，社会保障和就业共同财政事权转移支付46371万元，卫生健康共同财政事权分类分档转移支付66694万元，节能环保共同财政事权转移支付1920万元，农林水共同财政事权转移支付29190万元，交通运输共同财政事权转移支付4543万元，住房保障共同财政事权转移支付4424万元，其他一般性转移支付706万元。</w:t>
      </w:r>
    </w:p>
    <w:p>
      <w:pPr>
        <w:ind w:firstLine="640" w:firstLineChars="200"/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专项转移支付具体为：一般公共服务66万元，国防31万元，公共安全445万元，教育3230万元，科学技术299万元，文化旅游体育与传媒289万元，社会保障和就业901万元，卫生健康8052万元，节能环保234万元，农林水21340万元，交通运输4264万元，商业服务业等750万元，自然资源海洋气象等360万元，灾害防治及应急管理74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14382F"/>
    <w:rsid w:val="08950988"/>
    <w:rsid w:val="1B4254B6"/>
    <w:rsid w:val="1F14382F"/>
    <w:rsid w:val="5FC8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2020-10-17T08:37:00Z</dcterms:created>
  <dc:creator>Lenovo</dc:creator>
  <cp:lastModifiedBy>Lenovo</cp:lastModifiedBy>
  <dcterms:modified xsi:type="dcterms:W3CDTF">2020-10-10T02:16:35Z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222034131CA9458C87A14CDBBCD29EE9</vt:lpwstr>
  </property>
</Properties>
</file>