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夏邑县201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9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年度本级汇总的一般公共预算“三公”经费决算执行情况说明</w:t>
      </w:r>
    </w:p>
    <w:p/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540" w:lineRule="atLeast"/>
        <w:ind w:right="0" w:firstLine="640" w:firstLineChars="200"/>
        <w:jc w:val="left"/>
        <w:textAlignment w:val="top"/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caps w:val="0"/>
          <w:color w:val="333333"/>
          <w:spacing w:val="0"/>
          <w:kern w:val="0"/>
          <w:sz w:val="32"/>
          <w:szCs w:val="32"/>
          <w:shd w:val="clear" w:fill="FFFFFF"/>
          <w:lang w:val="en-US" w:eastAsia="zh-CN" w:bidi="ar"/>
        </w:rPr>
        <w:t>2019年，行政事业单位“三公”经费支出合计812万元。其中：因公出国（境）经费为0万元；公务用车购置费89.32万元，较上年减少121.18万元，压减57.6%；公务用车运行维护费652.9万元，较上年减少232.32万元，压减26.2%；公务接待费70.18万元，较上年减少49.09万元，压减41.2%。“三公”经费执行情况良好，主要是各部门大力压缩“三公”经费支出，以及车改后车辆运行经费的减少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BF35E0"/>
    <w:rsid w:val="0CD90BC8"/>
    <w:rsid w:val="11A42421"/>
    <w:rsid w:val="1DC907B5"/>
    <w:rsid w:val="2C027A19"/>
    <w:rsid w:val="76BF3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420" w:firstLineChars="200"/>
    </w:p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2020-10-17T08:44:00Z</dcterms:created>
  <dc:creator>Lenovo</dc:creator>
  <cp:lastModifiedBy>Lenovo</cp:lastModifiedBy>
  <dcterms:modified xsi:type="dcterms:W3CDTF">2020-10-10T03:44:30Z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99C585595FA34EE0A1C5D06EAA335D77</vt:lpwstr>
  </property>
</Properties>
</file>