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810" w:lineRule="atLeast"/>
        <w:ind w:left="0" w:right="0" w:firstLine="883" w:firstLineChars="200"/>
        <w:jc w:val="center"/>
        <w:textAlignment w:val="top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  <w:t>夏邑县201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shd w:val="clear" w:fill="FFFFFF"/>
        </w:rPr>
        <w:t>年度举借债务情况说明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上年末地方政府债务余额113550万元，其中：一般债券66099万元，向国际组织借款3926万元，专项债券43525万元；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上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年地方政府债务限额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139462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其中：一般债务限额82437万元，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专项债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务限额57025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全县债务风险在可控范围之内。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本年地方政府债券（转贷）收入9660万元，本年地方政府债务还本支出13268万元，其中：一般债券11066万元，向国际组织借款142万元；本年采用其他方式化解的债务本金323万元；年末地方政府债务余额109619万元，其中：一般债券64693万元，向国际组织借款3461万元，专项债券41465万元；本年地方政府债务余额限额140062万元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其中：一般债务限额83037万元，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专项债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务限额57025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全县债务风险在可控范围之内。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A15422"/>
    <w:rsid w:val="01D23F9E"/>
    <w:rsid w:val="29A15422"/>
    <w:rsid w:val="2CBF1A90"/>
    <w:rsid w:val="3DDC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2020-10-17T08:39:00Z</dcterms:created>
  <dc:creator>Lenovo</dc:creator>
  <cp:lastModifiedBy>Lenovo</cp:lastModifiedBy>
  <dcterms:modified xsi:type="dcterms:W3CDTF">2020-10-10T02:17:01Z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C681F09199BF49E69F0124337DC3394A</vt:lpwstr>
  </property>
</Properties>
</file>